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Montserrat" w:cs="Montserrat" w:eastAsia="Montserrat" w:hAnsi="Montserrat"/>
          <w:sz w:val="22"/>
          <w:szCs w:val="22"/>
          <w:vertAlign w:val="subscript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Trieste, 03/02/2023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Oggetto: Mozione per segnalare in modo più chiaro </w:t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l’attraversamento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pedonale in corrispondenza di via Valmaura 14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Tenuto conto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dell’ultimo rapporto ISTAT presentato il 26 luglio 2022, secondo cui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sulle strade urbane di Trieste ci sono stati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ben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776 incidenti e 4 morti nel 2021;</w: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Preso atto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di quanto segnala il Piano per l’Eliminazione delle Barriere Architettoniche (PEBA), approvato dal Consiglio comunale il 27 luglio 2021 contestualmente al Piano Urbano della Mobilità Sostenibile (PUMS) e al Biciplan;</w:t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Ascoltati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i residenti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del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comprensorio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ATER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limitrofo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all’attraversamento pedonale che collega il marciapiede attiguo all’edificio di via Valmaura 14 (corsia in salita) e il marciapiede attiguo alla fermata dell’autobus attigua al comprensorio ATER (corsia in discesa)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 raccolte le loro segnalazioni riguardo alla pericolosità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dello stesso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Tenuto conto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della presenza di supermercati, negozi e fermate degli autobus in corrispondenza dell’attraversamento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pedonale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Considerato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che la visibilità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in quel punto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è ridotta a causa della rampa della tangenziale,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ma soprattutto delle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autovetture posteggiate a ridosso dell’attraversamento sul lato di via Valmaura 14, per cui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i veicoli che percorrono la corsia di marcia di via Valmaura verso l’incrocio con via Palatucci e ratto della Pileria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non vedono i pedoni che stanno per attraversare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giungendo dal marciapiede opposto e, viceversa, i pedoni che giungono dal marciapiede attiguo alla fermata dell’autobus non vedono i veicoli transitanti sulla corsia di marcia di via Valmaura in direzione dell’incrocio con via Palatucci e ratto della Pileria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Tenuto conto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che spesso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i veicoli che percorrono quel tratto di via Valmaura provenendo dalla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tangenziale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hanno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una velocità elevata;</w:t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Considerato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che i veicoli a due ruote sono normalmente più bassi, più corti e meno compatti di quelli a quattro ruote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dunque più adatti a sostare in prossimità degli attraversamenti pedonali per ragioni di visibilità e dunque di sicurezza della circolazione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SI IMPEGNA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Presidente della VII Circoscrizione a richiedere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agli Assessori comunali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competenti di attivarsi per:</w:t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rendere più visibile l’attraversamento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pedonale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sotto la rampa della tangenziale in via Valmaura, in corrispondenza del civico 14;</w:t>
      </w:r>
    </w:p>
    <w:p w:rsidR="00000000" w:rsidDel="00000000" w:rsidP="00000000" w:rsidRDefault="00000000" w:rsidRPr="00000000" w14:paraId="0000001D">
      <w:pPr>
        <w:ind w:left="72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installare luci lampeggianti che segnalino l’attraversamento pedonale;</w:t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installare paletti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dissuasori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contro la sosta abusiva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tra le strisce zebrate e la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scritta gialla NO PARKING che si intravvede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 fatica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sull’asfalto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onde proteggere l’attraversamento pedonale nella zona sottostante la rampa tra le due corsie di marcia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tracciare a terra alcuni stalli per ciclomotori e motocicli in alternativa agli autoveicoli subito prima delle strisce pedonali sul lato di via Valmaura 14, in modo da permettere ai conducenti dei veicoli in arrivo di vedere meglio i pedoni in attraversamento e viceversa.</w:t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Per Adesso Trieste</w:t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Iulia Daniela Negru</w:t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</w:rPr>
        <w:drawing>
          <wp:inline distB="114300" distT="114300" distL="114300" distR="114300">
            <wp:extent cx="2351383" cy="1108748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83" cy="1108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</w:rPr>
        <w:drawing>
          <wp:inline distB="114300" distT="114300" distL="114300" distR="114300">
            <wp:extent cx="5007485" cy="3725215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7485" cy="372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Attraversamento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pedonale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in corrispondenza di via Valmaura 14, sotto la rampa.</w:t>
      </w:r>
    </w:p>
    <w:p w:rsidR="00000000" w:rsidDel="00000000" w:rsidP="00000000" w:rsidRDefault="00000000" w:rsidRPr="00000000" w14:paraId="00000037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</w:rPr>
        <w:drawing>
          <wp:inline distB="114300" distT="114300" distL="114300" distR="114300">
            <wp:extent cx="3824288" cy="5083361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508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Attraversamento in corrispondenza di via Valmaura 14, sotto la rampa, dove si legge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 fatica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la scritta “NO PARKING”.</w:t>
      </w:r>
    </w:p>
    <w:p w:rsidR="00000000" w:rsidDel="00000000" w:rsidP="00000000" w:rsidRDefault="00000000" w:rsidRPr="00000000" w14:paraId="00000039">
      <w:pPr>
        <w:ind w:left="144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tabs>
        <w:tab w:val="center" w:leader="none" w:pos="4819"/>
        <w:tab w:val="right" w:leader="none" w:pos="9638"/>
      </w:tabs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APS Adesso Trieste | Patto per la città Pakt za mesto</w:t>
    </w:r>
  </w:p>
  <w:p w:rsidR="00000000" w:rsidDel="00000000" w:rsidP="00000000" w:rsidRDefault="00000000" w:rsidRPr="00000000" w14:paraId="00000040">
    <w:pP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C.F. 90162800321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>
        <w:rFonts w:ascii="Montserrat" w:cs="Montserrat" w:eastAsia="Montserrat" w:hAnsi="Montserrat"/>
        <w:b w:val="1"/>
      </w:rPr>
    </w:pPr>
    <w:r w:rsidDel="00000000" w:rsidR="00000000" w:rsidRPr="00000000">
      <w:rPr>
        <w:rFonts w:ascii="Montserrat" w:cs="Montserrat" w:eastAsia="Montserrat" w:hAnsi="Montserrat"/>
        <w:b w:val="1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5767388</wp:posOffset>
          </wp:positionH>
          <wp:positionV relativeFrom="page">
            <wp:posOffset>457200</wp:posOffset>
          </wp:positionV>
          <wp:extent cx="878213" cy="886124"/>
          <wp:effectExtent b="0" l="0" r="0" t="0"/>
          <wp:wrapSquare wrapText="bothSides" distB="114300" distT="11430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8213" cy="8861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rPr>
        <w:rFonts w:ascii="Montserrat" w:cs="Montserrat" w:eastAsia="Montserrat" w:hAnsi="Montserrat"/>
        <w:b w:val="1"/>
        <w:sz w:val="22"/>
        <w:szCs w:val="22"/>
      </w:rPr>
    </w:pPr>
    <w:r w:rsidDel="00000000" w:rsidR="00000000" w:rsidRPr="00000000">
      <w:rPr>
        <w:rFonts w:ascii="Montserrat" w:cs="Montserrat" w:eastAsia="Montserrat" w:hAnsi="Montserrat"/>
        <w:b w:val="1"/>
        <w:sz w:val="22"/>
        <w:szCs w:val="22"/>
        <w:rtl w:val="0"/>
      </w:rPr>
      <w:t xml:space="preserve">Adesso Trieste </w:t>
    </w:r>
  </w:p>
  <w:p w:rsidR="00000000" w:rsidDel="00000000" w:rsidP="00000000" w:rsidRDefault="00000000" w:rsidRPr="00000000" w14:paraId="0000003C">
    <w:pPr>
      <w:rPr>
        <w:rFonts w:ascii="Montserrat" w:cs="Montserrat" w:eastAsia="Montserrat" w:hAnsi="Montserrat"/>
        <w:sz w:val="22"/>
        <w:szCs w:val="22"/>
      </w:rPr>
    </w:pPr>
    <w:r w:rsidDel="00000000" w:rsidR="00000000" w:rsidRPr="00000000">
      <w:rPr>
        <w:rFonts w:ascii="Montserrat" w:cs="Montserrat" w:eastAsia="Montserrat" w:hAnsi="Montserrat"/>
        <w:sz w:val="22"/>
        <w:szCs w:val="22"/>
        <w:rtl w:val="0"/>
      </w:rPr>
      <w:t xml:space="preserve">Patto per la città</w:t>
    </w:r>
  </w:p>
  <w:p w:rsidR="00000000" w:rsidDel="00000000" w:rsidP="00000000" w:rsidRDefault="00000000" w:rsidRPr="00000000" w14:paraId="0000003D">
    <w:pPr>
      <w:rPr>
        <w:rFonts w:ascii="Montserrat" w:cs="Montserrat" w:eastAsia="Montserrat" w:hAnsi="Montserrat"/>
        <w:sz w:val="22"/>
        <w:szCs w:val="22"/>
      </w:rPr>
    </w:pPr>
    <w:r w:rsidDel="00000000" w:rsidR="00000000" w:rsidRPr="00000000">
      <w:rPr>
        <w:rFonts w:ascii="Montserrat" w:cs="Montserrat" w:eastAsia="Montserrat" w:hAnsi="Montserrat"/>
        <w:sz w:val="22"/>
        <w:szCs w:val="22"/>
        <w:rtl w:val="0"/>
      </w:rPr>
      <w:t xml:space="preserve">Pakt za mesto</w:t>
      <w:tab/>
      <w:tab/>
      <w:tab/>
      <w:tab/>
      <w:tab/>
      <w:tab/>
      <w:tab/>
      <w:tab/>
    </w:r>
  </w:p>
  <w:p w:rsidR="00000000" w:rsidDel="00000000" w:rsidP="00000000" w:rsidRDefault="00000000" w:rsidRPr="00000000" w14:paraId="0000003E">
    <w:pPr>
      <w:ind w:left="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